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156" w:beforeLines="50" w:beforeAutospacing="0" w:afterAutospacing="0" w:line="276" w:lineRule="auto"/>
        <w:ind w:firstLine="361" w:firstLineChars="200"/>
        <w:jc w:val="center"/>
        <w:rPr>
          <w:rFonts w:ascii="Times New Roman" w:hAnsi="Times New Roman" w:eastAsia="宋体"/>
          <w:b/>
          <w:bCs/>
          <w:sz w:val="18"/>
          <w:szCs w:val="18"/>
          <w:highlight w:val="green"/>
        </w:rPr>
      </w:pPr>
      <w:r>
        <w:rPr>
          <w:rFonts w:ascii="Times New Roman" w:hAnsi="Times New Roman" w:eastAsia="宋体"/>
          <w:b/>
          <w:bCs/>
          <w:sz w:val="18"/>
          <w:szCs w:val="18"/>
          <w:highlight w:val="green"/>
        </w:rPr>
        <w:t>（建议添加至2.12.9发展规划最末尾）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276" w:lineRule="auto"/>
        <w:jc w:val="center"/>
        <w:textAlignment w:val="auto"/>
        <w:rPr>
          <w:rFonts w:ascii="Times New Roman" w:hAnsi="Times New Roman" w:eastAsia="宋体"/>
          <w:b w:val="0"/>
          <w:bCs w:val="0"/>
          <w:sz w:val="18"/>
          <w:szCs w:val="18"/>
        </w:rPr>
      </w:pPr>
      <w:r>
        <w:rPr>
          <w:rFonts w:ascii="Times New Roman" w:hAnsi="Times New Roman" w:eastAsia="宋体"/>
          <w:b w:val="0"/>
          <w:bCs w:val="0"/>
          <w:kern w:val="2"/>
          <w:sz w:val="18"/>
          <w:szCs w:val="18"/>
          <w:shd w:val="clear" w:color="auto" w:fill="FFFFFF"/>
        </w:rPr>
        <w:t>表4 巴西数据发展规划</w:t>
      </w:r>
      <w:r>
        <w:rPr>
          <w:rFonts w:ascii="Times New Roman" w:hAnsi="Times New Roman" w:eastAsia="宋体"/>
          <w:b w:val="0"/>
          <w:bCs w:val="0"/>
          <w:sz w:val="18"/>
          <w:szCs w:val="18"/>
        </w:rPr>
        <w:t>概览</w:t>
      </w:r>
    </w:p>
    <w:tbl>
      <w:tblPr>
        <w:tblStyle w:val="4"/>
        <w:tblW w:w="764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979"/>
        <w:gridCol w:w="4474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beforeAutospacing="0" w:afterAutospacing="0" w:line="276" w:lineRule="auto"/>
              <w:jc w:val="center"/>
              <w:rPr>
                <w:rFonts w:ascii="Times New Roman" w:hAnsi="Times New Roman" w:eastAsia="宋体"/>
                <w:b w:val="0"/>
                <w:bCs w:val="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b w:val="0"/>
                <w:bCs w:val="0"/>
                <w:kern w:val="2"/>
                <w:sz w:val="18"/>
                <w:szCs w:val="18"/>
                <w:shd w:val="clear" w:color="auto" w:fill="FFFFFF"/>
              </w:rPr>
              <w:t>战略规划名称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beforeAutospacing="0" w:afterAutospacing="0" w:line="276" w:lineRule="auto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  <w:t>规划年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beforeAutospacing="0" w:afterAutospacing="0" w:line="276" w:lineRule="auto"/>
              <w:jc w:val="center"/>
              <w:rPr>
                <w:rFonts w:ascii="Times New Roman" w:hAnsi="Times New Roman" w:eastAsia="宋体"/>
                <w:b w:val="0"/>
                <w:bCs w:val="0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  <w:shd w:val="clear" w:color="auto" w:fill="FFFFFF"/>
                <w:lang w:val="en-US" w:eastAsia="zh-CN"/>
              </w:rPr>
              <w:t>针对科学数据的事项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2007年~2010年全国科学、技术和创新计划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2008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val="en-US"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战略目标是扩大、完善国家科学技术和创新体系并使之现代化；创造使企业加速推进创新的氛围；加强战略部门的科研、创新，包括能源、航天、公共安全、国防的科研；推进科学普及和教育以及新技术的推广。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2012–2015年科学、技术与创新国家发展规划(ENCTI)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2012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val="en-US"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指出在2012–2015年拟发展的重点领域，按重要性依次为：信息技术、制药和相关医疗产业、空间等；创新前沿领域(生物技术和纳米技术)、</w:t>
            </w:r>
            <w:bookmarkStart w:id="0" w:name="_GoBack"/>
            <w:bookmarkEnd w:id="0"/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绿色经济相关领域以及社会发展领域的科技创新 (科技创新扩散、科技教育、包容性创新、社会技术、可持续城市技术等)。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国家知识平台计划(PNPC)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2014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该计划在科学知识和商业基础之间建立联系。旨在促成教育、科学和技术促进发展，以科学技术和先进创新的基础设施为基础，促进知识平台成果产出。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气候技术计划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2018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目标是促进气候、气候变化，以及建立科学研究所；促进科学和技术的发展，包括气象学家和气候学家，特别是科学和技术研究所，预防自然灾害和实施国际合作。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ANPD战略规划2021–2023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2022.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both"/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旨在为国家数据保护政策制定指导方针，就数据保护问题与国家和国际机构加强合作，通过国家理事会保障个人资料及私隐安全。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  <w:t>巴西数字化转型战略2022~2026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  <w:vertAlign w:val="superscript"/>
              </w:rPr>
              <w:t>[35]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2022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  <w:t>为了继续推进数字议程，将提供对未来四年数字战略的审查。旨在协调联邦行政部门与数字环境相关的举措，并利用数字技术的潜力，促进可持续和包容性的经济和社会发展，通过创新提高竞争力、生产力、就业和收入水平。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  <w:t>2020年至2022年期间的数字政府战略</w:t>
            </w:r>
          </w:p>
        </w:tc>
        <w:tc>
          <w:tcPr>
            <w:tcW w:w="979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shd w:val="clear" w:color="auto" w:fill="FFFFFF"/>
                <w:lang w:val="en-US" w:eastAsia="zh-CN" w:bidi="ar-SA"/>
                <w14:ligatures w14:val="none"/>
              </w:rPr>
            </w:pPr>
            <w:r>
              <w:rPr>
                <w:rFonts w:ascii="Times New Roman" w:hAnsi="Times New Roman" w:eastAsia="宋体"/>
                <w:kern w:val="2"/>
                <w:sz w:val="18"/>
                <w:szCs w:val="18"/>
                <w:shd w:val="clear" w:color="auto" w:fill="FFFFFF"/>
              </w:rPr>
              <w:t>2022.</w:t>
            </w:r>
            <w:r>
              <w:rPr>
                <w:rFonts w:hint="eastAsia" w:ascii="Times New Roman" w:hAnsi="Times New Roman" w:eastAsia="宋体"/>
                <w:kern w:val="2"/>
                <w:sz w:val="18"/>
                <w:szCs w:val="18"/>
                <w:shd w:val="clear" w:color="auto" w:fill="FFFFFF"/>
                <w:lang w:eastAsia="zh-CN"/>
              </w:rPr>
              <w:t>年</w:t>
            </w:r>
          </w:p>
        </w:tc>
        <w:tc>
          <w:tcPr>
            <w:tcW w:w="4474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  <w:t>该战略分为原则、目标和举措，将指导政府通过数字技术进行转型，提供质量更好、更简单、随时随地以更低的成本向公民提供公共政策和服务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yZDc0ZmQwZjk4YzBlYjZkZjFjMDcwOWUzYjE5YmEifQ=="/>
  </w:docVars>
  <w:rsids>
    <w:rsidRoot w:val="00731DA2"/>
    <w:rsid w:val="00731DA2"/>
    <w:rsid w:val="4A9A2FE6"/>
    <w:rsid w:val="5E165068"/>
    <w:rsid w:val="616B19FB"/>
    <w:rsid w:val="67EC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rPr>
      <w:rFonts w:ascii="Calibri" w:hAnsi="Calibri" w:eastAsia="宋体" w:cs="Calibri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701</Words>
  <Characters>813</Characters>
  <Lines>6</Lines>
  <Paragraphs>1</Paragraphs>
  <TotalTime>0</TotalTime>
  <ScaleCrop>false</ScaleCrop>
  <LinksUpToDate>false</LinksUpToDate>
  <CharactersWithSpaces>815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2023-09-07T14:21:00Z</dcterms:created>
  <dc:creator>NTKO</dc:creator>
  <cp:lastModifiedBy>ZJ</cp:lastModifiedBy>
  <dcterms:modified xsi:type="dcterms:W3CDTF">2023-09-08T07:41:05Z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DFA2D40D47E7401FBFB6C7C4A6016A89_12</vt:lpwstr>
  </property>
</Properties>
</file>