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Ref19144"/>
      <w:r>
        <w:rPr>
          <w:rFonts w:hint="eastAsia"/>
        </w:rPr>
        <w:t xml:space="preserve">表 </w:t>
      </w:r>
      <w:r>
        <w:rPr>
          <w:rFonts w:hint="eastAsia"/>
        </w:rPr>
        <w:fldChar w:fldCharType="begin"/>
      </w:r>
      <w:r>
        <w:rPr>
          <w:rFonts w:hint="eastAsia"/>
        </w:rPr>
        <w:instrText xml:space="preserve"> STYLEREF 1 \s </w:instrText>
      </w:r>
      <w:r>
        <w:rPr>
          <w:rFonts w:hint="eastAsia"/>
        </w:rPr>
        <w:fldChar w:fldCharType="separate"/>
      </w:r>
      <w:r>
        <w:rPr>
          <w:rFonts w:hint="eastAsia"/>
        </w:rPr>
        <w:t>2</w:t>
      </w:r>
      <w:r>
        <w:rPr>
          <w:rFonts w:hint="eastAsia"/>
        </w:rPr>
        <w:fldChar w:fldCharType="end"/>
      </w:r>
      <w:r>
        <w:rPr>
          <w:rFonts w:hint="eastAsia"/>
        </w:rPr>
        <w:t>–</w:t>
      </w:r>
      <w:r>
        <w:rPr>
          <w:rFonts w:hint="eastAsia"/>
        </w:rPr>
        <w:fldChar w:fldCharType="begin"/>
      </w:r>
      <w:r>
        <w:rPr>
          <w:rFonts w:hint="eastAsia"/>
        </w:rPr>
        <w:instrText xml:space="preserve"> SEQ 表 \* ARABIC \s 1 </w:instrText>
      </w:r>
      <w:r>
        <w:rPr>
          <w:rFonts w:hint="eastAsia"/>
        </w:rPr>
        <w:fldChar w:fldCharType="separate"/>
      </w:r>
      <w:r>
        <w:rPr>
          <w:rFonts w:hint="eastAsia"/>
        </w:rPr>
        <w:t>22</w:t>
      </w:r>
      <w:r>
        <w:rPr>
          <w:rFonts w:hint="eastAsia"/>
        </w:rPr>
        <w:fldChar w:fldCharType="end"/>
      </w:r>
      <w:bookmarkEnd w:id="0"/>
      <w:r>
        <w:rPr>
          <w:rFonts w:hint="eastAsia"/>
          <w:lang w:val="en-US" w:eastAsia="zh-CN"/>
        </w:rPr>
        <w:t>金砖四国</w:t>
      </w:r>
      <w:r>
        <w:rPr>
          <w:rFonts w:hint="eastAsia"/>
        </w:rPr>
        <w:t>数据管理政策</w:t>
      </w:r>
    </w:p>
    <w:tbl>
      <w:tblPr>
        <w:tblStyle w:val="3"/>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1305"/>
        <w:gridCol w:w="795"/>
        <w:gridCol w:w="555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jc w:val="center"/>
              <w:rPr>
                <w:rFonts w:hint="eastAsia" w:eastAsiaTheme="minorEastAsia"/>
                <w:lang w:val="en-US" w:eastAsia="zh-CN"/>
              </w:rPr>
            </w:pPr>
            <w:r>
              <w:rPr>
                <w:rFonts w:hint="eastAsia"/>
                <w:lang w:val="en-US" w:eastAsia="zh-CN"/>
              </w:rPr>
              <w:t>国家</w:t>
            </w:r>
          </w:p>
        </w:tc>
        <w:tc>
          <w:tcPr>
            <w:tcW w:w="1305" w:type="dxa"/>
            <w:vAlign w:val="center"/>
          </w:tcPr>
          <w:p>
            <w:pPr>
              <w:jc w:val="center"/>
            </w:pPr>
            <w:r>
              <w:rPr>
                <w:rFonts w:hint="eastAsia"/>
              </w:rPr>
              <w:t>政策名称（体系）</w:t>
            </w:r>
          </w:p>
        </w:tc>
        <w:tc>
          <w:tcPr>
            <w:tcW w:w="795" w:type="dxa"/>
            <w:vAlign w:val="center"/>
          </w:tcPr>
          <w:p>
            <w:pPr>
              <w:jc w:val="center"/>
            </w:pPr>
            <w:r>
              <w:rPr>
                <w:rFonts w:hint="eastAsia"/>
              </w:rPr>
              <w:t>时间</w:t>
            </w:r>
          </w:p>
        </w:tc>
        <w:tc>
          <w:tcPr>
            <w:tcW w:w="5558" w:type="dxa"/>
            <w:vAlign w:val="center"/>
          </w:tcPr>
          <w:p>
            <w:pPr>
              <w:jc w:val="center"/>
            </w:pPr>
            <w:r>
              <w:rPr>
                <w:rFonts w:hint="eastAsia"/>
              </w:rPr>
              <w:t>针对主题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restart"/>
            <w:vAlign w:val="center"/>
          </w:tcPr>
          <w:p>
            <w:pPr>
              <w:jc w:val="center"/>
              <w:rPr>
                <w:rFonts w:hint="eastAsia" w:eastAsiaTheme="minorEastAsia"/>
                <w:lang w:val="en-US" w:eastAsia="zh-CN"/>
              </w:rPr>
            </w:pPr>
            <w:r>
              <w:rPr>
                <w:rFonts w:hint="eastAsia"/>
                <w:lang w:val="en-US" w:eastAsia="zh-CN"/>
              </w:rPr>
              <w:t>俄罗斯</w:t>
            </w:r>
          </w:p>
        </w:tc>
        <w:tc>
          <w:tcPr>
            <w:tcW w:w="1305" w:type="dxa"/>
            <w:vAlign w:val="center"/>
          </w:tcPr>
          <w:p>
            <w:pPr>
              <w:rPr>
                <w:rFonts w:hint="eastAsia" w:eastAsiaTheme="minorEastAsia"/>
                <w:b/>
                <w:bCs/>
                <w:lang w:val="en-US" w:eastAsia="zh-CN"/>
              </w:rPr>
            </w:pPr>
            <w:r>
              <w:rPr>
                <w:rFonts w:hint="eastAsia"/>
              </w:rPr>
              <w:t>《俄罗斯联邦安全法》</w:t>
            </w:r>
            <w:r>
              <w:rPr>
                <w:rStyle w:val="5"/>
                <w:rFonts w:hint="eastAsia"/>
                <w:lang w:val="en-US" w:eastAsia="zh-CN"/>
              </w:rPr>
              <w:footnoteReference w:id="0"/>
            </w:r>
          </w:p>
        </w:tc>
        <w:tc>
          <w:tcPr>
            <w:tcW w:w="795" w:type="dxa"/>
            <w:vAlign w:val="center"/>
          </w:tcPr>
          <w:p>
            <w:pPr>
              <w:rPr>
                <w:b/>
                <w:bCs/>
              </w:rPr>
            </w:pPr>
            <w:r>
              <w:rPr>
                <w:rFonts w:hint="eastAsia"/>
              </w:rPr>
              <w:t>1</w:t>
            </w:r>
            <w:r>
              <w:t>992</w:t>
            </w:r>
          </w:p>
        </w:tc>
        <w:tc>
          <w:tcPr>
            <w:tcW w:w="5558" w:type="dxa"/>
            <w:vAlign w:val="center"/>
          </w:tcPr>
          <w:p>
            <w:pPr>
              <w:rPr>
                <w:b/>
                <w:bCs/>
              </w:rPr>
            </w:pPr>
            <w:r>
              <w:rPr>
                <w:rFonts w:hint="eastAsia"/>
              </w:rPr>
              <w:t>不仅提出信息安全的概念，而且还提出了情报安全概念。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《俄罗斯联邦信息安全纲要》</w:t>
            </w:r>
          </w:p>
        </w:tc>
        <w:tc>
          <w:tcPr>
            <w:tcW w:w="795" w:type="dxa"/>
            <w:vAlign w:val="center"/>
          </w:tcPr>
          <w:p>
            <w:pPr>
              <w:rPr>
                <w:b/>
                <w:bCs/>
              </w:rPr>
            </w:pPr>
            <w:r>
              <w:rPr>
                <w:rFonts w:hint="eastAsia"/>
              </w:rPr>
              <w:t>1</w:t>
            </w:r>
            <w:r>
              <w:t>995</w:t>
            </w:r>
          </w:p>
        </w:tc>
        <w:tc>
          <w:tcPr>
            <w:tcW w:w="5558" w:type="dxa"/>
            <w:vAlign w:val="center"/>
          </w:tcPr>
          <w:p>
            <w:pPr>
              <w:rPr>
                <w:b/>
                <w:bCs/>
              </w:rPr>
            </w:pPr>
            <w:r>
              <w:rPr>
                <w:rFonts w:hint="eastAsia"/>
              </w:rPr>
              <w:t>首次将以往通用的“信息保护”概念变为更加广泛和现代的概念——“信息安全”。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《俄罗斯联邦参与国际信息交换法》</w:t>
            </w:r>
          </w:p>
        </w:tc>
        <w:tc>
          <w:tcPr>
            <w:tcW w:w="795" w:type="dxa"/>
            <w:vAlign w:val="center"/>
          </w:tcPr>
          <w:p>
            <w:pPr>
              <w:rPr>
                <w:b/>
                <w:bCs/>
              </w:rPr>
            </w:pPr>
            <w:r>
              <w:rPr>
                <w:rFonts w:hint="eastAsia"/>
              </w:rPr>
              <w:t>1</w:t>
            </w:r>
            <w:r>
              <w:t>996</w:t>
            </w:r>
          </w:p>
        </w:tc>
        <w:tc>
          <w:tcPr>
            <w:tcW w:w="5558" w:type="dxa"/>
            <w:vAlign w:val="center"/>
          </w:tcPr>
          <w:p>
            <w:pPr>
              <w:rPr>
                <w:b/>
                <w:bCs/>
              </w:rPr>
            </w:pPr>
            <w:r>
              <w:rPr>
                <w:rFonts w:hint="eastAsia"/>
              </w:rPr>
              <w:t>提出保护俄罗斯在国际信息交换中的利益，对交换过程中的信息资源、信息产品、信息服务等进行管控，以保护俄罗斯联邦的机密信息和大众信息安全。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《俄罗斯联邦国家信息政策构想》</w:t>
            </w:r>
          </w:p>
        </w:tc>
        <w:tc>
          <w:tcPr>
            <w:tcW w:w="795" w:type="dxa"/>
            <w:vAlign w:val="center"/>
          </w:tcPr>
          <w:p>
            <w:pPr>
              <w:rPr>
                <w:b/>
                <w:bCs/>
              </w:rPr>
            </w:pPr>
            <w:r>
              <w:rPr>
                <w:rFonts w:hint="eastAsia"/>
              </w:rPr>
              <w:t>1</w:t>
            </w:r>
            <w:r>
              <w:t>998</w:t>
            </w:r>
          </w:p>
        </w:tc>
        <w:tc>
          <w:tcPr>
            <w:tcW w:w="5558" w:type="dxa"/>
            <w:vAlign w:val="center"/>
          </w:tcPr>
          <w:p>
            <w:pPr>
              <w:rPr>
                <w:b/>
                <w:bCs/>
              </w:rPr>
            </w:pPr>
            <w:r>
              <w:rPr>
                <w:rFonts w:hint="eastAsia"/>
              </w:rPr>
              <w:t>提出通过建立信息安全保障体系，保护国家机密和其他机密，保护信息资源和信息基础建设免受信息恐怖主义和信息犯罪的威胁；加强与全球信息网的互动关系，建立监督跨境信息交流安全状况的机构组织，协调各部门，以防止国家信息安全受到威胁。</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《国家信息安全学说》</w:t>
            </w:r>
            <w:r>
              <w:rPr>
                <w:rStyle w:val="5"/>
                <w:rFonts w:hint="eastAsia"/>
              </w:rPr>
              <w:footnoteReference w:id="1"/>
            </w:r>
          </w:p>
        </w:tc>
        <w:tc>
          <w:tcPr>
            <w:tcW w:w="795" w:type="dxa"/>
            <w:vAlign w:val="center"/>
          </w:tcPr>
          <w:p>
            <w:pPr>
              <w:rPr>
                <w:b/>
                <w:bCs/>
              </w:rPr>
            </w:pPr>
            <w:r>
              <w:rPr>
                <w:rFonts w:hint="eastAsia"/>
              </w:rPr>
              <w:t>2</w:t>
            </w:r>
            <w:r>
              <w:t>000</w:t>
            </w:r>
          </w:p>
        </w:tc>
        <w:tc>
          <w:tcPr>
            <w:tcW w:w="5558" w:type="dxa"/>
            <w:vAlign w:val="center"/>
          </w:tcPr>
          <w:p>
            <w:pPr>
              <w:rPr>
                <w:b/>
                <w:bCs/>
              </w:rPr>
            </w:pPr>
            <w:r>
              <w:rPr>
                <w:rFonts w:hint="eastAsia"/>
              </w:rPr>
              <w:t>对《俄罗斯联邦信息安全纲要》（草案）基本内容进行完善，并提出了俄罗斯国家信息安全保护目的、任务、原则和基本内容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《俄罗斯联邦关于信息、信息技术和信息保护法》</w:t>
            </w:r>
            <w:r>
              <w:rPr>
                <w:rStyle w:val="5"/>
                <w:rFonts w:hint="eastAsia"/>
              </w:rPr>
              <w:footnoteReference w:id="2"/>
            </w:r>
          </w:p>
        </w:tc>
        <w:tc>
          <w:tcPr>
            <w:tcW w:w="795" w:type="dxa"/>
            <w:vAlign w:val="center"/>
          </w:tcPr>
          <w:p>
            <w:pPr>
              <w:rPr>
                <w:b/>
                <w:bCs/>
              </w:rPr>
            </w:pPr>
            <w:r>
              <w:rPr>
                <w:rFonts w:hint="eastAsia"/>
              </w:rPr>
              <w:t>2</w:t>
            </w:r>
            <w:r>
              <w:t>006</w:t>
            </w:r>
          </w:p>
        </w:tc>
        <w:tc>
          <w:tcPr>
            <w:tcW w:w="5558" w:type="dxa"/>
            <w:vAlign w:val="center"/>
          </w:tcPr>
          <w:p>
            <w:pPr>
              <w:rPr>
                <w:b/>
                <w:bCs/>
              </w:rPr>
            </w:pPr>
            <w:r>
              <w:rPr>
                <w:rFonts w:hint="eastAsia"/>
              </w:rPr>
              <w:t>该法规定了整个信息立法系统的准则、对信息安全的立法保护，调整相关主体在开展寻找、获得、传递、生产和传播信息以及使用信息技术和进行信息保护时产生的法律关系。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《俄罗斯联邦信息安全学说》</w:t>
            </w:r>
          </w:p>
        </w:tc>
        <w:tc>
          <w:tcPr>
            <w:tcW w:w="795" w:type="dxa"/>
            <w:vAlign w:val="center"/>
          </w:tcPr>
          <w:p>
            <w:pPr>
              <w:rPr>
                <w:b/>
                <w:bCs/>
              </w:rPr>
            </w:pPr>
            <w:r>
              <w:rPr>
                <w:rFonts w:hint="eastAsia"/>
              </w:rPr>
              <w:t>2</w:t>
            </w:r>
            <w:r>
              <w:t>016</w:t>
            </w:r>
          </w:p>
        </w:tc>
        <w:tc>
          <w:tcPr>
            <w:tcW w:w="5558" w:type="dxa"/>
            <w:vAlign w:val="center"/>
          </w:tcPr>
          <w:p>
            <w:pPr>
              <w:rPr>
                <w:b/>
                <w:bCs/>
              </w:rPr>
            </w:pPr>
            <w:r>
              <w:rPr>
                <w:rFonts w:hint="eastAsia"/>
              </w:rPr>
              <w:t>这是俄罗斯国家安全领域重要的战略规划文件，该文件阐明了当前俄在信息领域的国家利益及面临的主要安全威胁，确定了保障信息安全的战略目标和主要方向。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《俄罗斯联邦2017—2030年数字经济发展计划》</w:t>
            </w:r>
          </w:p>
        </w:tc>
        <w:tc>
          <w:tcPr>
            <w:tcW w:w="795" w:type="dxa"/>
            <w:vAlign w:val="center"/>
          </w:tcPr>
          <w:p>
            <w:pPr>
              <w:rPr>
                <w:b/>
                <w:bCs/>
              </w:rPr>
            </w:pPr>
            <w:r>
              <w:rPr>
                <w:rFonts w:hint="eastAsia"/>
              </w:rPr>
              <w:t>2</w:t>
            </w:r>
            <w:r>
              <w:t>017</w:t>
            </w:r>
          </w:p>
        </w:tc>
        <w:tc>
          <w:tcPr>
            <w:tcW w:w="5558" w:type="dxa"/>
            <w:vAlign w:val="center"/>
          </w:tcPr>
          <w:p>
            <w:pPr>
              <w:rPr>
                <w:b/>
                <w:bCs/>
              </w:rPr>
            </w:pPr>
            <w:r>
              <w:rPr>
                <w:rFonts w:hint="eastAsia"/>
              </w:rPr>
              <w:t>提出信息基础设施和信息安全是构成数字经济的主要基础设施要素，确定了信息安全的基本原则：优先使用国产软件和设备，使用俄罗斯本国技术，以确保传输信息的完整性、机密性、安全性和可访问性。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《俄罗斯联邦主权互联网法案》</w:t>
            </w:r>
          </w:p>
        </w:tc>
        <w:tc>
          <w:tcPr>
            <w:tcW w:w="795" w:type="dxa"/>
            <w:vAlign w:val="center"/>
          </w:tcPr>
          <w:p>
            <w:pPr>
              <w:rPr>
                <w:b/>
                <w:bCs/>
              </w:rPr>
            </w:pPr>
            <w:r>
              <w:rPr>
                <w:rFonts w:hint="eastAsia"/>
              </w:rPr>
              <w:t>2</w:t>
            </w:r>
            <w:r>
              <w:t>019</w:t>
            </w:r>
          </w:p>
        </w:tc>
        <w:tc>
          <w:tcPr>
            <w:tcW w:w="5558" w:type="dxa"/>
            <w:vAlign w:val="center"/>
          </w:tcPr>
          <w:p>
            <w:pPr>
              <w:rPr>
                <w:b/>
                <w:bCs/>
              </w:rPr>
            </w:pPr>
            <w:r>
              <w:rPr>
                <w:rFonts w:hint="eastAsia"/>
              </w:rPr>
              <w:t>该法基于美国网络霸权背景而提出，就域名自主、定期演习、平台管控、主动断网以及技术统筹五个方面，构建起俄罗斯以保护数据主权为目标的网络安全体系。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《关于数字创新领域的实验性法律制度》</w:t>
            </w:r>
          </w:p>
        </w:tc>
        <w:tc>
          <w:tcPr>
            <w:tcW w:w="795" w:type="dxa"/>
            <w:vAlign w:val="center"/>
          </w:tcPr>
          <w:p>
            <w:pPr>
              <w:rPr>
                <w:b/>
                <w:bCs/>
              </w:rPr>
            </w:pPr>
            <w:r>
              <w:rPr>
                <w:rFonts w:hint="eastAsia"/>
              </w:rPr>
              <w:t>2</w:t>
            </w:r>
            <w:r>
              <w:t>020</w:t>
            </w:r>
          </w:p>
        </w:tc>
        <w:tc>
          <w:tcPr>
            <w:tcW w:w="5558" w:type="dxa"/>
            <w:vAlign w:val="center"/>
          </w:tcPr>
          <w:p>
            <w:pPr>
              <w:rPr>
                <w:b/>
                <w:bCs/>
              </w:rPr>
            </w:pPr>
            <w:r>
              <w:rPr>
                <w:rFonts w:hint="eastAsia"/>
              </w:rPr>
              <w:t>该法律于2021年1月28日生效，这是俄罗斯第一部与人工智能数据安全相关的“监管沙盒”法律。对监管沙盒的规范主要包括三个方面：一是强调有真正的创新；二是确保人工智能技术与数据隐私保护协调一致；三是可以动态调整试验内部的规则和数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《关于联邦国家信息系统“国家数据管理统一信息平台”的规定》</w:t>
            </w:r>
          </w:p>
        </w:tc>
        <w:tc>
          <w:tcPr>
            <w:tcW w:w="795" w:type="dxa"/>
            <w:vAlign w:val="center"/>
          </w:tcPr>
          <w:p>
            <w:pPr>
              <w:rPr>
                <w:b/>
                <w:bCs/>
              </w:rPr>
            </w:pPr>
            <w:r>
              <w:rPr>
                <w:rFonts w:hint="eastAsia"/>
              </w:rPr>
              <w:t>2</w:t>
            </w:r>
            <w:r>
              <w:t>02</w:t>
            </w:r>
            <w:r>
              <w:rPr>
                <w:rFonts w:hint="eastAsia"/>
              </w:rPr>
              <w:t>1</w:t>
            </w:r>
          </w:p>
        </w:tc>
        <w:tc>
          <w:tcPr>
            <w:tcW w:w="5558" w:type="dxa"/>
            <w:vAlign w:val="center"/>
          </w:tcPr>
          <w:p>
            <w:pPr>
              <w:rPr>
                <w:b/>
                <w:bCs/>
              </w:rPr>
            </w:pPr>
            <w:r>
              <w:rPr>
                <w:rFonts w:hint="eastAsia"/>
              </w:rPr>
              <w:t>提到“数据橱窗”概念，“数据橱窗”是一个软件和硬件的结合体，使用单一的信息平台和单一的系统，实现公共部门、机构和组织间数据的传输和存储。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rPr>
            </w:pPr>
          </w:p>
        </w:tc>
        <w:tc>
          <w:tcPr>
            <w:tcW w:w="1305" w:type="dxa"/>
            <w:vAlign w:val="center"/>
          </w:tcPr>
          <w:p>
            <w:pPr>
              <w:rPr>
                <w:b/>
                <w:bCs/>
              </w:rPr>
            </w:pPr>
            <w:r>
              <w:rPr>
                <w:rFonts w:hint="eastAsia"/>
              </w:rPr>
              <w:t>《俄罗斯联邦国际信息安全领域国家政策框架》</w:t>
            </w:r>
          </w:p>
        </w:tc>
        <w:tc>
          <w:tcPr>
            <w:tcW w:w="795" w:type="dxa"/>
            <w:vAlign w:val="center"/>
          </w:tcPr>
          <w:p>
            <w:pPr>
              <w:rPr>
                <w:b/>
                <w:bCs/>
              </w:rPr>
            </w:pPr>
            <w:r>
              <w:rPr>
                <w:rFonts w:hint="eastAsia"/>
              </w:rPr>
              <w:t>2</w:t>
            </w:r>
            <w:r>
              <w:t>021</w:t>
            </w:r>
          </w:p>
        </w:tc>
        <w:tc>
          <w:tcPr>
            <w:tcW w:w="5558" w:type="dxa"/>
            <w:vAlign w:val="center"/>
          </w:tcPr>
          <w:p>
            <w:pPr>
              <w:rPr>
                <w:b/>
                <w:bCs/>
              </w:rPr>
            </w:pPr>
            <w:r>
              <w:rPr>
                <w:rFonts w:hint="eastAsia"/>
              </w:rPr>
              <w:t>确定了俄罗斯联邦信息安全领域的国家政策框架。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restart"/>
            <w:vAlign w:val="center"/>
          </w:tcPr>
          <w:p>
            <w:pPr>
              <w:pStyle w:val="6"/>
              <w:jc w:val="center"/>
              <w:rPr>
                <w:rFonts w:hint="default"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南非</w:t>
            </w:r>
          </w:p>
        </w:tc>
        <w:tc>
          <w:tcPr>
            <w:tcW w:w="1305" w:type="dxa"/>
            <w:vAlign w:val="center"/>
          </w:tcPr>
          <w:p>
            <w:pPr>
              <w:pStyle w:val="6"/>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《国家数据和云政策草案》</w:t>
            </w:r>
          </w:p>
        </w:tc>
        <w:tc>
          <w:tcPr>
            <w:tcW w:w="795" w:type="dxa"/>
            <w:vAlign w:val="center"/>
          </w:tcPr>
          <w:p>
            <w:pPr>
              <w:pStyle w:val="6"/>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2021</w:t>
            </w:r>
          </w:p>
        </w:tc>
        <w:tc>
          <w:tcPr>
            <w:tcW w:w="5558" w:type="dxa"/>
            <w:vAlign w:val="center"/>
          </w:tcPr>
          <w:p>
            <w:pPr>
              <w:pStyle w:val="6"/>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该政策草案旨在将南非经济转变为数据密集型和数据驱动型的数字经济。特别是，为提供数据和云服务创造有利环境，以努力“走向南非数据密集型和数据驱动型”，确保社会和经济发展和包容性</w:t>
            </w:r>
            <w:r>
              <w:rPr>
                <w:rFonts w:hint="eastAsia" w:asciiTheme="minorHAnsi" w:hAnsiTheme="minorHAnsi" w:eastAsiaTheme="minorEastAsia" w:cstheme="minorBidi"/>
                <w:kern w:val="2"/>
                <w:sz w:val="21"/>
                <w:szCs w:val="22"/>
                <w:vertAlign w:val="superscript"/>
                <w:lang w:val="en-US" w:eastAsia="zh-CN" w:bidi="ar-SA"/>
              </w:rPr>
              <w:footnoteReference w:id="3"/>
            </w:r>
            <w:r>
              <w:rPr>
                <w:rFonts w:hint="eastAsia" w:asciiTheme="minorHAnsi" w:hAnsiTheme="minorHAnsi" w:eastAsiaTheme="minorEastAsia" w:cstheme="minorBidi"/>
                <w:kern w:val="2"/>
                <w:sz w:val="21"/>
                <w:szCs w:val="22"/>
                <w:lang w:val="en-US" w:eastAsia="zh-CN" w:bidi="ar-SA"/>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pStyle w:val="6"/>
              <w:jc w:val="center"/>
              <w:rPr>
                <w:rFonts w:hint="eastAsia" w:asciiTheme="minorHAnsi" w:hAnsiTheme="minorHAnsi" w:eastAsiaTheme="minorEastAsia" w:cstheme="minorBidi"/>
                <w:kern w:val="2"/>
                <w:sz w:val="21"/>
                <w:szCs w:val="22"/>
                <w:lang w:val="en-US" w:eastAsia="zh-CN" w:bidi="ar-SA"/>
              </w:rPr>
            </w:pPr>
          </w:p>
        </w:tc>
        <w:tc>
          <w:tcPr>
            <w:tcW w:w="1305" w:type="dxa"/>
            <w:vAlign w:val="center"/>
          </w:tcPr>
          <w:p>
            <w:pPr>
              <w:pStyle w:val="6"/>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《南非共和国数据保护法》</w:t>
            </w:r>
          </w:p>
        </w:tc>
        <w:tc>
          <w:tcPr>
            <w:tcW w:w="795" w:type="dxa"/>
            <w:vAlign w:val="center"/>
          </w:tcPr>
          <w:p>
            <w:pPr>
              <w:pStyle w:val="6"/>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2021</w:t>
            </w:r>
          </w:p>
        </w:tc>
        <w:tc>
          <w:tcPr>
            <w:tcW w:w="5558" w:type="dxa"/>
            <w:vAlign w:val="center"/>
          </w:tcPr>
          <w:p>
            <w:pPr>
              <w:pStyle w:val="6"/>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南非共和国已采取重大步骤，执行与保护数据和个人信息有关的法律和法规。新冠肺炎大流行强调了需要制定法律来规范由于使用数字服务而导致的数据和个人信息的扩散。南非共和国的第一部具体数据保护法于2021年7月1日生效，与世界其他国家一道，在第四次工业革命的数字时代保护隐私权</w:t>
            </w:r>
            <w:r>
              <w:rPr>
                <w:rFonts w:hint="eastAsia" w:asciiTheme="minorHAnsi" w:hAnsiTheme="minorHAnsi" w:eastAsiaTheme="minorEastAsia" w:cstheme="minorBidi"/>
                <w:kern w:val="2"/>
                <w:sz w:val="21"/>
                <w:szCs w:val="22"/>
                <w:vertAlign w:val="superscript"/>
                <w:lang w:val="en-US" w:eastAsia="zh-CN" w:bidi="ar-SA"/>
              </w:rPr>
              <w:footnoteReference w:id="4"/>
            </w:r>
            <w:r>
              <w:rPr>
                <w:rFonts w:hint="eastAsia" w:asciiTheme="minorHAnsi" w:hAnsiTheme="minorHAnsi" w:eastAsiaTheme="minorEastAsia" w:cstheme="minorBidi"/>
                <w:kern w:val="2"/>
                <w:sz w:val="21"/>
                <w:szCs w:val="22"/>
                <w:lang w:val="en-US" w:eastAsia="zh-CN" w:bidi="ar-SA"/>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restart"/>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印度</w:t>
            </w:r>
          </w:p>
        </w:tc>
        <w:tc>
          <w:tcPr>
            <w:tcW w:w="1305" w:type="dxa"/>
            <w:vAlign w:val="center"/>
          </w:tcPr>
          <w:p>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olor w:val="000000" w:themeColor="text1"/>
                <w14:textFill>
                  <w14:solidFill>
                    <w14:schemeClr w14:val="tx1"/>
                  </w14:solidFill>
                </w14:textFill>
              </w:rPr>
              <w:t>《信息技术法》</w:t>
            </w:r>
            <w:r>
              <w:rPr>
                <w:rStyle w:val="5"/>
                <w:rFonts w:hint="eastAsia" w:ascii="Times New Roman" w:hAnsi="Times New Roman"/>
                <w:color w:val="000000" w:themeColor="text1"/>
                <w14:textFill>
                  <w14:solidFill>
                    <w14:schemeClr w14:val="tx1"/>
                  </w14:solidFill>
                </w14:textFill>
              </w:rPr>
              <w:footnoteReference w:id="5"/>
            </w:r>
          </w:p>
        </w:tc>
        <w:tc>
          <w:tcPr>
            <w:tcW w:w="795" w:type="dxa"/>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1999</w:t>
            </w:r>
          </w:p>
        </w:tc>
        <w:tc>
          <w:tcPr>
            <w:tcW w:w="5558" w:type="dxa"/>
            <w:vAlign w:val="center"/>
          </w:tcPr>
          <w:p>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olor w:val="000000" w:themeColor="text1"/>
                <w14:textFill>
                  <w14:solidFill>
                    <w14:schemeClr w14:val="tx1"/>
                  </w14:solidFill>
                </w14:textFill>
              </w:rPr>
              <w:t>是印度颁布的第一部有关网络活动的基本法，自此印度成为在计算机和互联网领域拥有专门立法的国家。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asciiTheme="minorHAnsi" w:hAnsiTheme="minorHAnsi" w:eastAsiaTheme="minorEastAsia" w:cstheme="minorBidi"/>
                <w:kern w:val="2"/>
                <w:sz w:val="21"/>
                <w:szCs w:val="22"/>
                <w:lang w:val="en-US" w:eastAsia="zh-CN" w:bidi="ar-SA"/>
              </w:rPr>
            </w:pPr>
          </w:p>
        </w:tc>
        <w:tc>
          <w:tcPr>
            <w:tcW w:w="1305" w:type="dxa"/>
            <w:vAlign w:val="center"/>
          </w:tcPr>
          <w:p>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olor w:val="000000" w:themeColor="text1"/>
                <w14:textFill>
                  <w14:solidFill>
                    <w14:schemeClr w14:val="tx1"/>
                  </w14:solidFill>
                </w14:textFill>
              </w:rPr>
              <w:t>《印度国家网络安全政策》</w:t>
            </w:r>
          </w:p>
        </w:tc>
        <w:tc>
          <w:tcPr>
            <w:tcW w:w="795" w:type="dxa"/>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2013</w:t>
            </w:r>
          </w:p>
        </w:tc>
        <w:tc>
          <w:tcPr>
            <w:tcW w:w="5558" w:type="dxa"/>
            <w:vAlign w:val="center"/>
          </w:tcPr>
          <w:p>
            <w:pPr>
              <w:ind w:firstLine="420"/>
              <w:rPr>
                <w:rFonts w:hint="eastAsia" w:asciiTheme="minorHAnsi" w:hAnsiTheme="minorHAnsi" w:eastAsiaTheme="minorEastAsia" w:cstheme="minorBidi"/>
                <w:kern w:val="2"/>
                <w:sz w:val="21"/>
                <w:szCs w:val="22"/>
                <w:lang w:val="en-US" w:eastAsia="zh-CN" w:bidi="ar-SA"/>
              </w:rPr>
            </w:pPr>
            <w:r>
              <w:rPr>
                <w:rFonts w:hint="eastAsia" w:ascii="Times New Roman" w:hAnsi="Times New Roman"/>
                <w:color w:val="000000" w:themeColor="text1"/>
                <w14:textFill>
                  <w14:solidFill>
                    <w14:schemeClr w14:val="tx1"/>
                  </w14:solidFill>
                </w14:textFill>
              </w:rPr>
              <w:t>旨在组建国家网络安全治理机制。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asciiTheme="minorHAnsi" w:hAnsiTheme="minorHAnsi" w:eastAsiaTheme="minorEastAsia" w:cstheme="minorBidi"/>
                <w:kern w:val="2"/>
                <w:sz w:val="21"/>
                <w:szCs w:val="22"/>
                <w:lang w:val="en-US" w:eastAsia="zh-CN" w:bidi="ar-SA"/>
              </w:rPr>
            </w:pPr>
          </w:p>
        </w:tc>
        <w:tc>
          <w:tcPr>
            <w:tcW w:w="1305" w:type="dxa"/>
            <w:vAlign w:val="center"/>
          </w:tcPr>
          <w:p>
            <w:pPr>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《印度数据保护框架白皮书》</w:t>
            </w:r>
            <w:r>
              <w:rPr>
                <w:rStyle w:val="5"/>
                <w:rFonts w:hint="eastAsia" w:ascii="Times New Roman" w:hAnsi="Times New Roman"/>
                <w:color w:val="000000" w:themeColor="text1"/>
                <w14:textFill>
                  <w14:solidFill>
                    <w14:schemeClr w14:val="tx1"/>
                  </w14:solidFill>
                </w14:textFill>
              </w:rPr>
              <w:footnoteReference w:id="6"/>
            </w:r>
          </w:p>
        </w:tc>
        <w:tc>
          <w:tcPr>
            <w:tcW w:w="795" w:type="dxa"/>
            <w:vAlign w:val="center"/>
          </w:tcPr>
          <w:p>
            <w:pPr>
              <w:rPr>
                <w:rFonts w:hint="default" w:cstheme="minorBidi"/>
                <w:kern w:val="2"/>
                <w:sz w:val="21"/>
                <w:szCs w:val="22"/>
                <w:lang w:val="en-US" w:eastAsia="zh-CN" w:bidi="ar-SA"/>
              </w:rPr>
            </w:pPr>
            <w:r>
              <w:rPr>
                <w:rFonts w:hint="eastAsia" w:cstheme="minorBidi"/>
                <w:kern w:val="2"/>
                <w:sz w:val="21"/>
                <w:szCs w:val="22"/>
                <w:lang w:val="en-US" w:eastAsia="zh-CN" w:bidi="ar-SA"/>
              </w:rPr>
              <w:t>2017</w:t>
            </w:r>
          </w:p>
        </w:tc>
        <w:tc>
          <w:tcPr>
            <w:tcW w:w="5558" w:type="dxa"/>
            <w:vAlign w:val="center"/>
          </w:tcPr>
          <w:p>
            <w:pPr>
              <w:ind w:firstLine="420"/>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《白皮书》为数据保护提供固定法律框架，也为后续起草数据保护法做准备，旨在推动数字经济增长，保护公民个人数据安全。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asciiTheme="minorHAnsi" w:hAnsiTheme="minorHAnsi" w:eastAsiaTheme="minorEastAsia" w:cstheme="minorBidi"/>
                <w:kern w:val="2"/>
                <w:sz w:val="21"/>
                <w:szCs w:val="22"/>
                <w:lang w:val="en-US" w:eastAsia="zh-CN" w:bidi="ar-SA"/>
              </w:rPr>
            </w:pPr>
          </w:p>
        </w:tc>
        <w:tc>
          <w:tcPr>
            <w:tcW w:w="1305" w:type="dxa"/>
            <w:vAlign w:val="center"/>
          </w:tcPr>
          <w:p>
            <w:pPr>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《2019年印度个人数据保护法案》（2019年第373号法案）</w:t>
            </w:r>
          </w:p>
        </w:tc>
        <w:tc>
          <w:tcPr>
            <w:tcW w:w="795" w:type="dxa"/>
            <w:vAlign w:val="center"/>
          </w:tcPr>
          <w:p>
            <w:pPr>
              <w:rPr>
                <w:rFonts w:hint="default" w:cstheme="minorBidi"/>
                <w:kern w:val="2"/>
                <w:sz w:val="21"/>
                <w:szCs w:val="22"/>
                <w:lang w:val="en-US" w:eastAsia="zh-CN" w:bidi="ar-SA"/>
              </w:rPr>
            </w:pPr>
            <w:r>
              <w:rPr>
                <w:rFonts w:hint="eastAsia" w:cstheme="minorBidi"/>
                <w:kern w:val="2"/>
                <w:sz w:val="21"/>
                <w:szCs w:val="22"/>
                <w:lang w:val="en-US" w:eastAsia="zh-CN" w:bidi="ar-SA"/>
              </w:rPr>
              <w:t>2019</w:t>
            </w:r>
          </w:p>
        </w:tc>
        <w:tc>
          <w:tcPr>
            <w:tcW w:w="5558" w:type="dxa"/>
            <w:vAlign w:val="center"/>
          </w:tcPr>
          <w:p>
            <w:pPr>
              <w:ind w:firstLine="420"/>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该法案</w:t>
            </w:r>
            <w:r>
              <w:rPr>
                <w:rFonts w:hint="eastAsia" w:ascii="Times New Roman" w:hAnsi="Times New Roman"/>
                <w:color w:val="000000" w:themeColor="text1"/>
                <w:lang w:val="en-US" w:eastAsia="zh-CN"/>
                <w14:textFill>
                  <w14:solidFill>
                    <w14:schemeClr w14:val="tx1"/>
                  </w14:solidFill>
                </w14:textFill>
              </w:rPr>
              <w:t>目的是</w:t>
            </w:r>
            <w:r>
              <w:rPr>
                <w:rFonts w:hint="eastAsia" w:ascii="Times New Roman" w:hAnsi="Times New Roman"/>
                <w:color w:val="000000" w:themeColor="text1"/>
                <w14:textFill>
                  <w14:solidFill>
                    <w14:schemeClr w14:val="tx1"/>
                  </w14:solidFill>
                </w14:textFill>
              </w:rPr>
              <w:t>为印度“确立强有力的设立数据保护局和数据保护框架，</w:t>
            </w:r>
            <w:r>
              <w:rPr>
                <w:rFonts w:hint="eastAsia" w:ascii="Times New Roman" w:hAnsi="Times New Roman"/>
                <w:color w:val="000000" w:themeColor="text1"/>
                <w:lang w:val="en-US" w:eastAsia="zh-CN"/>
                <w14:textFill>
                  <w14:solidFill>
                    <w14:schemeClr w14:val="tx1"/>
                  </w14:solidFill>
                </w14:textFill>
              </w:rPr>
              <w:t>并且</w:t>
            </w:r>
            <w:r>
              <w:rPr>
                <w:rFonts w:hint="eastAsia" w:ascii="Times New Roman" w:hAnsi="Times New Roman"/>
                <w:color w:val="000000" w:themeColor="text1"/>
                <w14:textFill>
                  <w14:solidFill>
                    <w14:schemeClr w14:val="tx1"/>
                  </w14:solidFill>
                </w14:textFill>
              </w:rPr>
              <w:t>赋予印度公民个人数据相关</w:t>
            </w:r>
            <w:r>
              <w:rPr>
                <w:rFonts w:hint="eastAsia" w:ascii="Times New Roman" w:hAnsi="Times New Roman"/>
                <w:color w:val="000000" w:themeColor="text1"/>
                <w:lang w:val="en-US" w:eastAsia="zh-CN"/>
                <w14:textFill>
                  <w14:solidFill>
                    <w14:schemeClr w14:val="tx1"/>
                  </w14:solidFill>
                </w14:textFill>
              </w:rPr>
              <w:t>的</w:t>
            </w:r>
            <w:r>
              <w:rPr>
                <w:rFonts w:hint="eastAsia" w:ascii="Times New Roman" w:hAnsi="Times New Roman"/>
                <w:color w:val="000000" w:themeColor="text1"/>
                <w14:textFill>
                  <w14:solidFill>
                    <w14:schemeClr w14:val="tx1"/>
                  </w14:solidFill>
                </w14:textFill>
              </w:rPr>
              <w:t>权利，以确保他们关于‘隐私和个人数据保护’的基本权利”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asciiTheme="minorHAnsi" w:hAnsiTheme="minorHAnsi" w:eastAsiaTheme="minorEastAsia" w:cstheme="minorBidi"/>
                <w:kern w:val="2"/>
                <w:sz w:val="21"/>
                <w:szCs w:val="22"/>
                <w:lang w:val="en-US" w:eastAsia="zh-CN" w:bidi="ar-SA"/>
              </w:rPr>
            </w:pPr>
          </w:p>
        </w:tc>
        <w:tc>
          <w:tcPr>
            <w:tcW w:w="1305" w:type="dxa"/>
            <w:vAlign w:val="center"/>
          </w:tcPr>
          <w:p>
            <w:pPr>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《2020年数据中心政策草案》</w:t>
            </w:r>
          </w:p>
        </w:tc>
        <w:tc>
          <w:tcPr>
            <w:tcW w:w="795" w:type="dxa"/>
            <w:vAlign w:val="center"/>
          </w:tcPr>
          <w:p>
            <w:pPr>
              <w:rPr>
                <w:rFonts w:hint="default" w:cstheme="minorBidi"/>
                <w:kern w:val="2"/>
                <w:sz w:val="21"/>
                <w:szCs w:val="22"/>
                <w:lang w:val="en-US" w:eastAsia="zh-CN" w:bidi="ar-SA"/>
              </w:rPr>
            </w:pPr>
            <w:r>
              <w:rPr>
                <w:rFonts w:hint="eastAsia" w:cstheme="minorBidi"/>
                <w:kern w:val="2"/>
                <w:sz w:val="21"/>
                <w:szCs w:val="22"/>
                <w:lang w:val="en-US" w:eastAsia="zh-CN" w:bidi="ar-SA"/>
              </w:rPr>
              <w:t>2020</w:t>
            </w:r>
          </w:p>
        </w:tc>
        <w:tc>
          <w:tcPr>
            <w:tcW w:w="5558" w:type="dxa"/>
            <w:vAlign w:val="center"/>
          </w:tcPr>
          <w:p>
            <w:pPr>
              <w:ind w:firstLine="420"/>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该政策旨加快当前的增长速度并推动印度成为全球数据中心。愿景是使印度成为全球数据中心枢纽，促进该领域的投资，推动数字经济增长，启用可信任的托管基础架构，以满足该国日益增长的需求并促进向公民提供最先进的服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asciiTheme="minorHAnsi" w:hAnsiTheme="minorHAnsi" w:eastAsiaTheme="minorEastAsia" w:cstheme="minorBidi"/>
                <w:kern w:val="2"/>
                <w:sz w:val="21"/>
                <w:szCs w:val="22"/>
                <w:lang w:val="en-US" w:eastAsia="zh-CN" w:bidi="ar-SA"/>
              </w:rPr>
            </w:pPr>
          </w:p>
        </w:tc>
        <w:tc>
          <w:tcPr>
            <w:tcW w:w="1305" w:type="dxa"/>
            <w:vAlign w:val="center"/>
          </w:tcPr>
          <w:p>
            <w:pPr>
              <w:rPr>
                <w:rFonts w:hint="eastAsia" w:ascii="Times New Roman" w:hAnsi="Times New Roman"/>
                <w:color w:val="000000" w:themeColor="text1"/>
                <w14:textFill>
                  <w14:solidFill>
                    <w14:schemeClr w14:val="tx1"/>
                  </w14:solidFill>
                </w14:textFill>
              </w:rPr>
            </w:pPr>
            <w:r>
              <w:rPr>
                <w:rFonts w:hint="eastAsia"/>
                <w:color w:val="000000" w:themeColor="text1"/>
                <w:kern w:val="0"/>
                <w14:textFill>
                  <w14:solidFill>
                    <w14:schemeClr w14:val="tx1"/>
                  </w14:solidFill>
                </w14:textFill>
              </w:rPr>
              <w:t>《数字个人数据保护法案草案》</w:t>
            </w:r>
          </w:p>
        </w:tc>
        <w:tc>
          <w:tcPr>
            <w:tcW w:w="795" w:type="dxa"/>
            <w:vAlign w:val="center"/>
          </w:tcPr>
          <w:p>
            <w:pPr>
              <w:pStyle w:val="6"/>
              <w:jc w:val="center"/>
              <w:rPr>
                <w:rFonts w:hint="eastAsia" w:asciiTheme="minorHAnsi" w:hAnsiTheme="minorHAnsi" w:eastAsiaTheme="minorEastAsia" w:cstheme="minorBidi"/>
                <w:color w:val="000000" w:themeColor="text1"/>
                <w:kern w:val="0"/>
                <w:sz w:val="21"/>
                <w:szCs w:val="22"/>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0"/>
                <w:sz w:val="21"/>
                <w:szCs w:val="22"/>
                <w:lang w:val="en-US" w:eastAsia="zh-CN" w:bidi="ar-SA"/>
                <w14:textFill>
                  <w14:solidFill>
                    <w14:schemeClr w14:val="tx1"/>
                  </w14:solidFill>
                </w14:textFill>
              </w:rPr>
              <w:t>2022</w:t>
            </w:r>
          </w:p>
        </w:tc>
        <w:tc>
          <w:tcPr>
            <w:tcW w:w="5558" w:type="dxa"/>
            <w:vAlign w:val="center"/>
          </w:tcPr>
          <w:p>
            <w:pPr>
              <w:pStyle w:val="6"/>
              <w:rPr>
                <w:rFonts w:hint="eastAsia" w:asciiTheme="minorHAnsi" w:hAnsiTheme="minorHAnsi" w:eastAsiaTheme="minorEastAsia" w:cstheme="minorBidi"/>
                <w:color w:val="000000" w:themeColor="text1"/>
                <w:kern w:val="0"/>
                <w:sz w:val="21"/>
                <w:szCs w:val="22"/>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0"/>
                <w:sz w:val="21"/>
                <w:szCs w:val="22"/>
                <w:lang w:val="en-US" w:eastAsia="zh-CN" w:bidi="ar-SA"/>
                <w14:textFill>
                  <w14:solidFill>
                    <w14:schemeClr w14:val="tx1"/>
                  </w14:solidFill>
                </w14:textFill>
              </w:rPr>
              <w:t>旨在保护个人数据，同时征求用户的同意，草案声称“清晰明了的语言”描述了将收集的信息的确切种类以及收集的目的。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restart"/>
            <w:tcBorders/>
            <w:vAlign w:val="center"/>
          </w:tcPr>
          <w:p>
            <w:pPr>
              <w:jc w:val="center"/>
              <w:rPr>
                <w:rFonts w:hint="default"/>
                <w:color w:val="000000" w:themeColor="text1"/>
                <w:kern w:val="0"/>
                <w:lang w:val="en-US" w:eastAsia="zh-CN"/>
                <w14:textFill>
                  <w14:solidFill>
                    <w14:schemeClr w14:val="tx1"/>
                  </w14:solidFill>
                </w14:textFill>
              </w:rPr>
            </w:pPr>
            <w:r>
              <w:rPr>
                <w:rFonts w:hint="eastAsia"/>
                <w:color w:val="000000" w:themeColor="text1"/>
                <w:kern w:val="0"/>
                <w:lang w:val="en-US" w:eastAsia="zh-CN"/>
                <w14:textFill>
                  <w14:solidFill>
                    <w14:schemeClr w14:val="tx1"/>
                  </w14:solidFill>
                </w14:textFill>
              </w:rPr>
              <w:t>巴西</w:t>
            </w:r>
          </w:p>
        </w:tc>
        <w:tc>
          <w:tcPr>
            <w:tcW w:w="130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《联邦宪法》</w:t>
            </w:r>
            <w:r>
              <w:rPr>
                <w:rStyle w:val="5"/>
                <w:rFonts w:hint="eastAsia"/>
                <w:color w:val="000000" w:themeColor="text1"/>
                <w:kern w:val="0"/>
                <w14:textFill>
                  <w14:solidFill>
                    <w14:schemeClr w14:val="tx1"/>
                  </w14:solidFill>
                </w14:textFill>
              </w:rPr>
              <w:footnoteReference w:id="7"/>
            </w:r>
          </w:p>
        </w:tc>
        <w:tc>
          <w:tcPr>
            <w:tcW w:w="79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1988</w:t>
            </w:r>
          </w:p>
        </w:tc>
        <w:tc>
          <w:tcPr>
            <w:tcW w:w="5558"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不仅保护包括通信、电报、电话和数据通信保密性在内的隐私权，还涉及消费者保护。此次修正中，《宪法》第5条涉及个人和集体权利的修正案增加了一个新部分，指出“保护个人数据的权利，包括在数字媒体中的权利，是根据法律条款得到保障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color w:val="000000" w:themeColor="text1"/>
                <w:kern w:val="0"/>
                <w:lang w:val="en-US" w:eastAsia="zh-CN"/>
                <w14:textFill>
                  <w14:solidFill>
                    <w14:schemeClr w14:val="tx1"/>
                  </w14:solidFill>
                </w14:textFill>
              </w:rPr>
            </w:pPr>
          </w:p>
        </w:tc>
        <w:tc>
          <w:tcPr>
            <w:tcW w:w="130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《巴西良好数据法》</w:t>
            </w:r>
          </w:p>
        </w:tc>
        <w:tc>
          <w:tcPr>
            <w:tcW w:w="79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2011</w:t>
            </w:r>
          </w:p>
        </w:tc>
        <w:tc>
          <w:tcPr>
            <w:tcW w:w="5558"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规范了包含个人或法人实体支付记录信息的数据库的创建和管理，旨在建立信用记录。</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color w:val="000000" w:themeColor="text1"/>
                <w:kern w:val="0"/>
                <w:lang w:val="en-US" w:eastAsia="zh-CN"/>
                <w14:textFill>
                  <w14:solidFill>
                    <w14:schemeClr w14:val="tx1"/>
                  </w14:solidFill>
                </w14:textFill>
              </w:rPr>
            </w:pPr>
          </w:p>
        </w:tc>
        <w:tc>
          <w:tcPr>
            <w:tcW w:w="130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《信息获取法》</w:t>
            </w:r>
          </w:p>
        </w:tc>
        <w:tc>
          <w:tcPr>
            <w:tcW w:w="79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2012</w:t>
            </w:r>
          </w:p>
        </w:tc>
        <w:tc>
          <w:tcPr>
            <w:tcW w:w="5558"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对政府部门和机构提出要求，要对信息进行管理、保护和开放，尤其是机密信息和个人信息的保护。对联邦宪法规定的公民享有的“对信息获取的权利”做出了具体的阐释，是保障公民获取政府信息权利的最直接和最具有实践操作性的法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color w:val="000000" w:themeColor="text1"/>
                <w:kern w:val="0"/>
                <w:lang w:val="en-US" w:eastAsia="zh-CN"/>
                <w14:textFill>
                  <w14:solidFill>
                    <w14:schemeClr w14:val="tx1"/>
                  </w14:solidFill>
                </w14:textFill>
              </w:rPr>
            </w:pPr>
          </w:p>
        </w:tc>
        <w:tc>
          <w:tcPr>
            <w:tcW w:w="130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《巴西开放数据政策》</w:t>
            </w:r>
          </w:p>
        </w:tc>
        <w:tc>
          <w:tcPr>
            <w:tcW w:w="79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2016</w:t>
            </w:r>
          </w:p>
        </w:tc>
        <w:tc>
          <w:tcPr>
            <w:tcW w:w="5558" w:type="dxa"/>
            <w:vAlign w:val="center"/>
          </w:tcPr>
          <w:p>
            <w:pPr>
              <w:rPr>
                <w:rFonts w:hint="eastAsia"/>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1.以可持续、有计划和结构化的方式，以公开数据的形式，促进公共机构和实体的数据发布。</w:t>
            </w:r>
          </w:p>
          <w:p>
            <w:pPr>
              <w:rPr>
                <w:rFonts w:hint="eastAsia"/>
                <w:color w:val="000000" w:themeColor="text1"/>
                <w:kern w:val="0"/>
                <w14:textFill>
                  <w14:solidFill>
                    <w14:schemeClr w14:val="tx1"/>
                  </w14:solidFill>
                </w14:textFill>
              </w:rPr>
            </w:pPr>
            <w:r>
              <w:rPr>
                <w:rFonts w:hint="eastAsia"/>
                <w:color w:val="000000" w:themeColor="text1"/>
                <w:kern w:val="0"/>
                <w:lang w:val="en-US" w:eastAsia="zh-CN"/>
                <w14:textFill>
                  <w14:solidFill>
                    <w14:schemeClr w14:val="tx1"/>
                  </w14:solidFill>
                </w14:textFill>
              </w:rPr>
              <w:t>2.</w:t>
            </w:r>
            <w:r>
              <w:rPr>
                <w:rFonts w:hint="eastAsia"/>
                <w:color w:val="000000" w:themeColor="text1"/>
                <w:kern w:val="0"/>
                <w14:textFill>
                  <w14:solidFill>
                    <w14:schemeClr w14:val="tx1"/>
                  </w14:solidFill>
                </w14:textFill>
              </w:rPr>
              <w:t>促进数据的使用和重用，以创建新的服务，并使政府更加透明。</w:t>
            </w:r>
          </w:p>
          <w:p>
            <w:pPr>
              <w:rPr>
                <w:rFonts w:hint="eastAsia"/>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3.向公民开放对联邦行政部门产生或积累的不合理数据的访问。</w:t>
            </w:r>
          </w:p>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4.促进联邦公共行政机构和各级政府机构和实体之间的数据交换等</w:t>
            </w:r>
            <w:r>
              <w:rPr>
                <w:rFonts w:hint="eastAsia"/>
                <w:color w:val="000000" w:themeColor="text1"/>
                <w:kern w:val="0"/>
                <w:vertAlign w:val="superscript"/>
                <w14:textFill>
                  <w14:solidFill>
                    <w14:schemeClr w14:val="tx1"/>
                  </w14:solidFill>
                </w14:textFill>
              </w:rPr>
              <w:footnoteReference w:id="8"/>
            </w:r>
            <w:r>
              <w:rPr>
                <w:rFonts w:hint="eastAsia"/>
                <w:color w:val="000000" w:themeColor="text1"/>
                <w:kern w:val="0"/>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color w:val="000000" w:themeColor="text1"/>
                <w:kern w:val="0"/>
                <w:lang w:val="en-US" w:eastAsia="zh-CN"/>
                <w14:textFill>
                  <w14:solidFill>
                    <w14:schemeClr w14:val="tx1"/>
                  </w14:solidFill>
                </w14:textFill>
              </w:rPr>
            </w:pPr>
          </w:p>
        </w:tc>
        <w:tc>
          <w:tcPr>
            <w:tcW w:w="130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《巴西数据保护法》</w:t>
            </w:r>
          </w:p>
        </w:tc>
        <w:tc>
          <w:tcPr>
            <w:tcW w:w="79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2018</w:t>
            </w:r>
          </w:p>
        </w:tc>
        <w:tc>
          <w:tcPr>
            <w:tcW w:w="5558"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尽管巴西多年来一直有一些稀疏的、由部门驱动的数据隐私标准（主要针对银行、健康和消费者为基础的企业），但它仍然缺乏一个全面的、普遍适用的个人数据处理框架。然而，2018年8月14日，颁布了第13.709/18号法律（巴西数据保护法，简称“LGPD”），以规范“个人或法律实体（无论是公共还是私人）处理个人数据，包括通过数字方式处理个人数据”</w:t>
            </w:r>
            <w:r>
              <w:rPr>
                <w:rFonts w:hint="eastAsia"/>
                <w:color w:val="000000" w:themeColor="text1"/>
                <w:kern w:val="0"/>
                <w:vertAlign w:val="superscript"/>
                <w14:textFill>
                  <w14:solidFill>
                    <w14:schemeClr w14:val="tx1"/>
                  </w14:solidFill>
                </w14:textFill>
              </w:rPr>
              <w:footnoteReference w:id="9"/>
            </w:r>
            <w:r>
              <w:rPr>
                <w:rFonts w:hint="eastAsia"/>
                <w:color w:val="000000" w:themeColor="text1"/>
                <w:kern w:val="0"/>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64" w:type="dxa"/>
            <w:vMerge w:val="continue"/>
            <w:tcBorders/>
            <w:vAlign w:val="center"/>
          </w:tcPr>
          <w:p>
            <w:pPr>
              <w:rPr>
                <w:rFonts w:hint="eastAsia"/>
                <w:color w:val="000000" w:themeColor="text1"/>
                <w:kern w:val="0"/>
                <w:lang w:val="en-US" w:eastAsia="zh-CN"/>
                <w14:textFill>
                  <w14:solidFill>
                    <w14:schemeClr w14:val="tx1"/>
                  </w14:solidFill>
                </w14:textFill>
              </w:rPr>
            </w:pPr>
          </w:p>
        </w:tc>
        <w:tc>
          <w:tcPr>
            <w:tcW w:w="130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《巴西数据监管战略》</w:t>
            </w:r>
          </w:p>
        </w:tc>
        <w:tc>
          <w:tcPr>
            <w:tcW w:w="795"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2021</w:t>
            </w:r>
          </w:p>
        </w:tc>
        <w:tc>
          <w:tcPr>
            <w:tcW w:w="5558" w:type="dxa"/>
            <w:vAlign w:val="center"/>
          </w:tcPr>
          <w:p>
            <w:pPr>
              <w:rPr>
                <w:rFonts w:hint="eastAsia"/>
                <w:color w:val="000000" w:themeColor="text1"/>
                <w:kern w:val="0"/>
                <w:lang w:val="en-US" w:eastAsia="zh-CN"/>
                <w14:textFill>
                  <w14:solidFill>
                    <w14:schemeClr w14:val="tx1"/>
                  </w14:solidFill>
                </w14:textFill>
              </w:rPr>
            </w:pPr>
            <w:r>
              <w:rPr>
                <w:rFonts w:hint="eastAsia"/>
                <w:color w:val="000000" w:themeColor="text1"/>
                <w:kern w:val="0"/>
                <w14:textFill>
                  <w14:solidFill>
                    <w14:schemeClr w14:val="tx1"/>
                  </w14:solidFill>
                </w14:textFill>
              </w:rPr>
              <w:t>巴西数据保护局ANPD确立了作为数据保护监管机构的三个主要目标，分别是促进加强数据保护文化，这将通过活动和讲习班、起草指南和建议、与公共和私营实体合作制定最佳做法和调查违规行为来实现</w:t>
            </w:r>
            <w:r>
              <w:rPr>
                <w:rFonts w:hint="eastAsia"/>
                <w:color w:val="000000" w:themeColor="text1"/>
                <w:kern w:val="0"/>
                <w:vertAlign w:val="superscript"/>
                <w14:textFill>
                  <w14:solidFill>
                    <w14:schemeClr w14:val="tx1"/>
                  </w14:solidFill>
                </w14:textFill>
              </w:rPr>
              <w:footnoteReference w:id="10"/>
            </w:r>
            <w:r>
              <w:rPr>
                <w:rFonts w:hint="eastAsia"/>
                <w:color w:val="000000" w:themeColor="text1"/>
                <w:kern w:val="0"/>
                <w14:textFill>
                  <w14:solidFill>
                    <w14:schemeClr w14:val="tx1"/>
                  </w14:solidFill>
                </w14:textFill>
              </w:rPr>
              <w:t>。</w:t>
            </w:r>
          </w:p>
        </w:tc>
      </w:tr>
    </w:tbl>
    <w:p>
      <w:pPr>
        <w:rPr>
          <w:rFonts w:hint="eastAsia"/>
          <w:color w:val="000000" w:themeColor="text1"/>
          <w:kern w:val="0"/>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r>
        <w:separator/>
      </w:r>
    </w:p>
  </w:footnote>
  <w:footnote w:type="continuationSeparator" w:id="23">
    <w:p>
      <w:r>
        <w:continuationSeparator/>
      </w:r>
    </w:p>
  </w:footnote>
  <w:footnote w:id="0">
    <w:p>
      <w:pPr>
        <w:pStyle w:val="2"/>
        <w:snapToGrid w:val="0"/>
      </w:pPr>
      <w:r>
        <w:rPr>
          <w:rStyle w:val="5"/>
        </w:rPr>
        <w:footnoteRef/>
      </w:r>
      <w:r>
        <w:t xml:space="preserve"> </w:t>
      </w:r>
      <w:r>
        <w:rPr>
          <w:rFonts w:hint="eastAsia"/>
        </w:rPr>
        <w:t>[1]张涛,张莹秋.俄罗斯国家数据安全治理的机制建设[J].俄罗斯学刊,2022,12(2):48-66</w:t>
      </w:r>
    </w:p>
  </w:footnote>
  <w:footnote w:id="1">
    <w:p>
      <w:pPr>
        <w:pStyle w:val="2"/>
        <w:snapToGrid w:val="0"/>
      </w:pPr>
      <w:r>
        <w:rPr>
          <w:rStyle w:val="5"/>
        </w:rPr>
        <w:footnoteRef/>
      </w:r>
      <w:r>
        <w:t xml:space="preserve"> </w:t>
      </w:r>
      <w:r>
        <w:rPr>
          <w:rFonts w:hint="eastAsia"/>
        </w:rPr>
        <w:t>《新媒体与社会（第八辑）-新形势下的网络空间安全研究 》</w:t>
      </w:r>
    </w:p>
  </w:footnote>
  <w:footnote w:id="2">
    <w:p>
      <w:pPr>
        <w:pStyle w:val="2"/>
        <w:snapToGrid w:val="0"/>
      </w:pPr>
      <w:r>
        <w:rPr>
          <w:rStyle w:val="5"/>
        </w:rPr>
        <w:footnoteRef/>
      </w:r>
      <w:r>
        <w:t xml:space="preserve"> </w:t>
      </w:r>
      <w:r>
        <w:rPr>
          <w:rFonts w:hint="eastAsia"/>
        </w:rPr>
        <w:t>[1]孙祁, 尤利娅·哈里托诺娃. 数据主权背景下俄罗斯数据跨境流动的立法特点及趋势[J]. 俄罗斯研究, 2022(2):19.</w:t>
      </w:r>
    </w:p>
  </w:footnote>
  <w:footnote w:id="3">
    <w:p>
      <w:pPr>
        <w:jc w:val="left"/>
      </w:pPr>
      <w:r>
        <w:footnoteRef/>
      </w:r>
      <w:r>
        <w:t xml:space="preserve"> BOWMANS</w:t>
      </w:r>
      <w:r>
        <w:rPr>
          <w:rFonts w:hint="eastAsia"/>
        </w:rPr>
        <w:t>网站.</w:t>
      </w:r>
      <w:r>
        <w:t>2021-04-12.</w:t>
      </w:r>
      <w:r>
        <w:rPr>
          <w:rFonts w:hint="eastAsia"/>
        </w:rPr>
        <w:t>南非：新的国家数据和云政策草案.</w:t>
      </w:r>
      <w:r>
        <w:t xml:space="preserve">https://www.bowmanslaw.com/insights/technology-media-and-telecommunications/south-africa-new-draft-national-data-and-cloud-policy/ </w:t>
      </w:r>
      <w:r>
        <w:rPr>
          <w:rFonts w:hint="eastAsia"/>
          <w:szCs w:val="21"/>
        </w:rPr>
        <w:t>[</w:t>
      </w:r>
      <w:r>
        <w:rPr>
          <w:szCs w:val="21"/>
        </w:rPr>
        <w:t>2023-02-26</w:t>
      </w:r>
      <w:r>
        <w:rPr>
          <w:rFonts w:hint="eastAsia"/>
          <w:szCs w:val="21"/>
        </w:rPr>
        <w:t>]</w:t>
      </w:r>
      <w:r>
        <w:rPr>
          <w:szCs w:val="21"/>
        </w:rPr>
        <w:t>.</w:t>
      </w:r>
    </w:p>
  </w:footnote>
  <w:footnote w:id="4">
    <w:p>
      <w:pPr>
        <w:jc w:val="left"/>
      </w:pPr>
      <w:r>
        <w:footnoteRef/>
      </w:r>
      <w:r>
        <w:t xml:space="preserve"> one trust data guidance</w:t>
      </w:r>
      <w:r>
        <w:rPr>
          <w:rFonts w:hint="eastAsia"/>
        </w:rPr>
        <w:t>网站.</w:t>
      </w:r>
      <w:r>
        <w:t>2022-07.</w:t>
      </w:r>
      <w:r>
        <w:rPr>
          <w:rFonts w:hint="eastAsia"/>
        </w:rPr>
        <w:t>南非-数据保护概述.</w:t>
      </w:r>
      <w:r>
        <w:t xml:space="preserve">https://www.dataguidance.com/notes/south-africa-data-protection-overview </w:t>
      </w:r>
      <w:r>
        <w:rPr>
          <w:rFonts w:hint="eastAsia"/>
          <w:szCs w:val="21"/>
        </w:rPr>
        <w:t>[</w:t>
      </w:r>
      <w:r>
        <w:rPr>
          <w:szCs w:val="21"/>
        </w:rPr>
        <w:t>2023-02-26</w:t>
      </w:r>
      <w:r>
        <w:rPr>
          <w:rFonts w:hint="eastAsia"/>
          <w:szCs w:val="21"/>
        </w:rPr>
        <w:t>]</w:t>
      </w:r>
      <w:r>
        <w:rPr>
          <w:szCs w:val="21"/>
        </w:rPr>
        <w:t>.</w:t>
      </w:r>
    </w:p>
  </w:footnote>
  <w:footnote w:id="5">
    <w:p>
      <w:pPr>
        <w:pStyle w:val="2"/>
        <w:snapToGrid w:val="0"/>
      </w:pPr>
      <w:r>
        <w:rPr>
          <w:rStyle w:val="5"/>
        </w:rPr>
        <w:footnoteRef/>
      </w:r>
      <w:r>
        <w:t xml:space="preserve"> </w:t>
      </w:r>
      <w:r>
        <w:rPr>
          <w:rFonts w:hint="eastAsia"/>
        </w:rPr>
        <w:t>新加坡和、印度关于网络安全立法概况https://china.findlaw.cn/jingjifa/wangluofalv/dongtai/20151023/1249554.html</w:t>
      </w:r>
    </w:p>
  </w:footnote>
  <w:footnote w:id="6">
    <w:p>
      <w:pPr>
        <w:pStyle w:val="2"/>
        <w:snapToGrid w:val="0"/>
      </w:pPr>
      <w:r>
        <w:rPr>
          <w:rStyle w:val="5"/>
        </w:rPr>
        <w:footnoteRef/>
      </w:r>
      <w:r>
        <w:t xml:space="preserve"> </w:t>
      </w:r>
      <w:r>
        <w:rPr>
          <w:rFonts w:hint="eastAsia"/>
        </w:rPr>
        <w:t>[1]嵇绍国,王宏.印度《个人数据保护法案》浅析[J].保密科学技术,2020(02):57-61.</w:t>
      </w:r>
    </w:p>
  </w:footnote>
  <w:footnote w:id="7">
    <w:p>
      <w:pPr>
        <w:pStyle w:val="2"/>
        <w:snapToGrid w:val="0"/>
      </w:pPr>
      <w:r>
        <w:rPr>
          <w:rStyle w:val="5"/>
        </w:rPr>
        <w:footnoteRef/>
      </w:r>
      <w:r>
        <w:t xml:space="preserve"> </w:t>
      </w:r>
      <w:r>
        <w:rPr>
          <w:rFonts w:hint="eastAsia"/>
        </w:rPr>
        <w:t>[1]陈美,梁乙凯.巴西开放政府数据的隐私风险控制研究[J].现代情报,2021,41(09):127-134.</w:t>
      </w:r>
      <w:bookmarkStart w:id="1" w:name="_GoBack"/>
      <w:bookmarkEnd w:id="1"/>
    </w:p>
  </w:footnote>
  <w:footnote w:id="8">
    <w:p>
      <w:pPr>
        <w:jc w:val="left"/>
      </w:pPr>
      <w:r>
        <w:footnoteRef/>
      </w:r>
      <w:r>
        <w:t xml:space="preserve"> Opsi</w:t>
      </w:r>
      <w:r>
        <w:rPr>
          <w:rFonts w:hint="eastAsia"/>
        </w:rPr>
        <w:t>网站.</w:t>
      </w:r>
      <w:r>
        <w:t>2016.</w:t>
      </w:r>
      <w:r>
        <w:rPr>
          <w:rFonts w:hint="eastAsia"/>
        </w:rPr>
        <w:t>巴西开放数据政策.</w:t>
      </w:r>
      <w:r>
        <w:t xml:space="preserve">https://oecd-opsi.org/innovations/brazilian-open-data-policy/ </w:t>
      </w:r>
      <w:r>
        <w:rPr>
          <w:rFonts w:hint="eastAsia"/>
          <w:szCs w:val="21"/>
        </w:rPr>
        <w:t>[</w:t>
      </w:r>
      <w:r>
        <w:rPr>
          <w:szCs w:val="21"/>
        </w:rPr>
        <w:t>2023-03-01</w:t>
      </w:r>
      <w:r>
        <w:rPr>
          <w:rFonts w:hint="eastAsia"/>
          <w:szCs w:val="21"/>
        </w:rPr>
        <w:t>]</w:t>
      </w:r>
      <w:r>
        <w:rPr>
          <w:szCs w:val="21"/>
        </w:rPr>
        <w:t>.</w:t>
      </w:r>
    </w:p>
  </w:footnote>
  <w:footnote w:id="9">
    <w:p>
      <w:pPr>
        <w:jc w:val="left"/>
      </w:pPr>
      <w:r>
        <w:footnoteRef/>
      </w:r>
      <w:r>
        <w:t xml:space="preserve"> Inplp</w:t>
      </w:r>
      <w:r>
        <w:rPr>
          <w:rFonts w:hint="eastAsia"/>
        </w:rPr>
        <w:t>网站.</w:t>
      </w:r>
      <w:r>
        <w:t>2021-02-03.</w:t>
      </w:r>
      <w:r>
        <w:rPr>
          <w:rFonts w:hint="eastAsia"/>
        </w:rPr>
        <w:t>巴西数据保护法概述.</w:t>
      </w:r>
      <w:r>
        <w:t xml:space="preserve">https://inplp.com/latest-news/article/brazils-data-protection-law-a-brief-overview/ </w:t>
      </w:r>
      <w:r>
        <w:rPr>
          <w:rFonts w:hint="eastAsia"/>
          <w:szCs w:val="21"/>
        </w:rPr>
        <w:t>[</w:t>
      </w:r>
      <w:r>
        <w:rPr>
          <w:szCs w:val="21"/>
        </w:rPr>
        <w:t>2023-03-01</w:t>
      </w:r>
      <w:r>
        <w:rPr>
          <w:rFonts w:hint="eastAsia"/>
          <w:szCs w:val="21"/>
        </w:rPr>
        <w:t>]</w:t>
      </w:r>
      <w:r>
        <w:rPr>
          <w:szCs w:val="21"/>
        </w:rPr>
        <w:t>.</w:t>
      </w:r>
    </w:p>
  </w:footnote>
  <w:footnote w:id="10">
    <w:p>
      <w:pPr>
        <w:jc w:val="left"/>
      </w:pPr>
      <w:r>
        <w:footnoteRef/>
      </w:r>
      <w:r>
        <w:t xml:space="preserve"> Natlawreview</w:t>
      </w:r>
      <w:r>
        <w:rPr>
          <w:rFonts w:hint="eastAsia"/>
        </w:rPr>
        <w:t>网站.</w:t>
      </w:r>
      <w:r>
        <w:t>2021-02-08.</w:t>
      </w:r>
      <w:r>
        <w:rPr>
          <w:rFonts w:hint="eastAsia"/>
        </w:rPr>
        <w:t>巴西数据保护局发布监管战略-2021-2023</w:t>
      </w:r>
      <w:r>
        <w:t xml:space="preserve">.https://www.natlawreview.com/article/brazilian-data-protection-authority-publishes-regulatory-strategy-2021-2023 </w:t>
      </w:r>
      <w:r>
        <w:rPr>
          <w:rFonts w:hint="eastAsia"/>
          <w:szCs w:val="21"/>
        </w:rPr>
        <w:t>[</w:t>
      </w:r>
      <w:r>
        <w:rPr>
          <w:szCs w:val="21"/>
        </w:rPr>
        <w:t>2023-03-01</w:t>
      </w:r>
      <w:r>
        <w:rPr>
          <w:rFonts w:hint="eastAsia"/>
          <w:szCs w:val="21"/>
        </w:rPr>
        <w:t>]</w:t>
      </w:r>
      <w:r>
        <w:rPr>
          <w:szCs w:val="21"/>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2"/>
    <w:footnote w:id="2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jOWRkNWRiOWRiNmFjOTA4M2QxNzg5ZDBmMGQ1ZWQifQ=="/>
  </w:docVars>
  <w:rsids>
    <w:rsidRoot w:val="54D259BF"/>
    <w:rsid w:val="09AB4631"/>
    <w:rsid w:val="201605FE"/>
    <w:rsid w:val="347436ED"/>
    <w:rsid w:val="54D259BF"/>
    <w:rsid w:val="6DF11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uiPriority w:val="0"/>
    <w:pPr>
      <w:snapToGrid w:val="0"/>
      <w:jc w:val="left"/>
    </w:pPr>
    <w:rPr>
      <w:sz w:val="18"/>
    </w:rPr>
  </w:style>
  <w:style w:type="character" w:styleId="5">
    <w:name w:val="footnote reference"/>
    <w:basedOn w:val="4"/>
    <w:uiPriority w:val="0"/>
    <w:rPr>
      <w:vertAlign w:val="superscript"/>
    </w:rPr>
  </w:style>
  <w:style w:type="paragraph" w:customStyle="1" w:styleId="6">
    <w:name w:val="表格文字"/>
    <w:qFormat/>
    <w:uiPriority w:val="0"/>
    <w:pPr>
      <w:jc w:val="both"/>
    </w:pPr>
    <w:rPr>
      <w:rFonts w:ascii="Times New Roman" w:hAnsi="Times New Roman" w:eastAsia="宋体" w:cstheme="minorBidi"/>
      <w:kern w:val="2"/>
      <w:sz w:val="15"/>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2417</Words>
  <Characters>2542</Characters>
  <Lines>0</Lines>
  <Paragraphs>0</Paragraphs>
  <TotalTime>29</TotalTime>
  <ScaleCrop>false</ScaleCrop>
  <LinksUpToDate>false</LinksUpToDate>
  <CharactersWithSpaces>2543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2023-05-12T07:52:00Z</dcterms:created>
  <dc:creator>ZJ</dc:creator>
  <cp:lastModifiedBy>ZJ</cp:lastModifiedBy>
  <dcterms:modified xsi:type="dcterms:W3CDTF">2023-05-12T08:32:38Z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DBCBC9AE532E4C538463CC296F72C6C4_11</vt:lpwstr>
  </property>
</Properties>
</file>