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32"/>
          <w:lang w:val="en-US" w:eastAsia="zh-CN"/>
        </w:rPr>
        <w:t>印度数据中心及其详细信息</w:t>
      </w:r>
    </w:p>
    <w:p>
      <w:pPr>
        <w:numPr>
          <w:numId w:val="0"/>
        </w:numPr>
        <w:jc w:val="center"/>
        <w:rPr>
          <w:rFonts w:hint="default"/>
          <w:b/>
          <w:bCs/>
          <w:lang w:val="en-US" w:eastAsia="zh-CN"/>
        </w:rPr>
      </w:pPr>
    </w:p>
    <w:tbl>
      <w:tblPr>
        <w:tblStyle w:val="3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356"/>
        <w:gridCol w:w="1154"/>
        <w:gridCol w:w="1746"/>
        <w:gridCol w:w="3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创建时间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网址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主要作用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印度国家遥感中心（NRSC）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1969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https://www.nrsc.gov.in/aboutus.html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NRSC的任务是建立接收卫星数据的地面站，生成数据产品，向用户传播，开发遥感应用技术，包括灾害管理支持，地理空间服务促进善政以及专业人员，教师和学生的能力建设。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印度空间研究组织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pStyle w:val="6"/>
              <w:jc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1972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https://www.isro.gov.in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主要从事与航天和空间科学有关的研究。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国家信息中心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pStyle w:val="6"/>
              <w:jc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1976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https://www.nic.in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在印度国家，州和地区为政府部门的电子政务应用起到关键作用，并改善政府服务，以及提供政府透明度。几乎所有的印度政府网站都是由它来开发。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印度环境、森林和气候变化部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https://envfor.nic.in/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印度环境、森林与气候变化部负责规划，推动，协调和监督印度环境和林业方案的实施。它还负责印度森林和其他荒野地区的动物区系调查；预防和控制污染；植树造林和缓解土地退化，以及印度国家公园的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印度气象局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pStyle w:val="6"/>
              <w:jc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1875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https://www.imd.gov.in/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它是负责气象观测，气象预报和地震学的主要机构。它在整个印度和南极拥有数百个观测站。印度气象局是世界气象组织六个区域专业气象中心之一。它预测，命名北印度洋地区热带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气旋，其中包括马六甲海峡，孟加拉湾，阿拉伯海和波斯湾预报职责。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印度通信和信息技术部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pStyle w:val="6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https://www.dot.gov.in/</w:t>
            </w:r>
          </w:p>
        </w:tc>
        <w:tc>
          <w:tcPr>
            <w:tcW w:w="358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val="en-US" w:eastAsia="zh-CN"/>
              </w:rPr>
              <w:t>它负责监管印度电信服务，印度邮政服务，印度无线电管理服务，电报服务，电报账户和金融服务。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OWRkNWRiOWRiNmFjOTA4M2QxNzg5ZDBmMGQ1ZWQifQ=="/>
  </w:docVars>
  <w:rsids>
    <w:rsidRoot w:val="1E5E179E"/>
    <w:rsid w:val="1E5E179E"/>
    <w:rsid w:val="2ECA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customStyle="1" w:styleId="6">
    <w:name w:val="表格文字"/>
    <w:qFormat/>
    <w:uiPriority w:val="0"/>
    <w:pPr>
      <w:jc w:val="both"/>
    </w:pPr>
    <w:rPr>
      <w:rFonts w:ascii="Times New Roman" w:hAnsi="Times New Roman" w:eastAsia="宋体" w:cstheme="minorBidi"/>
      <w:kern w:val="2"/>
      <w:sz w:val="15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2089</Words>
  <Characters>7406</Characters>
  <Lines>0</Lines>
  <Paragraphs>0</Paragraphs>
  <TotalTime>2795</TotalTime>
  <ScaleCrop>false</ScaleCrop>
  <LinksUpToDate>false</LinksUpToDate>
  <CharactersWithSpaces>7647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2023-04-24T01:44:00Z</dcterms:created>
  <dc:creator>qzuser</dc:creator>
  <cp:lastModifiedBy>ZJ</cp:lastModifiedBy>
  <dcterms:modified xsi:type="dcterms:W3CDTF">2023-05-19T06:51:44Z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CEF268F7622740B1AA4E261855A4498E_11</vt:lpwstr>
  </property>
</Properties>
</file>