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center"/>
        <w:textAlignment w:val="auto"/>
        <w:rPr>
          <w:rFonts w:ascii="Times New Roman" w:hAnsi="Times New Roman" w:eastAsia="宋体"/>
          <w:b w:val="0"/>
          <w:bCs w:val="0"/>
          <w:sz w:val="18"/>
          <w:szCs w:val="18"/>
        </w:rPr>
      </w:pPr>
      <w:r>
        <w:rPr>
          <w:rFonts w:ascii="Times New Roman" w:hAnsi="Times New Roman" w:eastAsia="宋体"/>
          <w:b w:val="0"/>
          <w:bCs w:val="0"/>
          <w:sz w:val="18"/>
          <w:szCs w:val="18"/>
        </w:rPr>
        <w:t>表2-30 南非科学数据中心发展规划</w:t>
      </w:r>
    </w:p>
    <w:tbl>
      <w:tblPr>
        <w:tblStyle w:val="4"/>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47"/>
        <w:gridCol w:w="1489"/>
        <w:gridCol w:w="51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val="0"/>
                <w:bCs w:val="0"/>
                <w:kern w:val="0"/>
                <w:sz w:val="18"/>
                <w:szCs w:val="18"/>
              </w:rPr>
            </w:pPr>
            <w:r>
              <w:rPr>
                <w:rFonts w:ascii="Times New Roman" w:hAnsi="Times New Roman" w:eastAsia="宋体" w:cs="Times New Roman"/>
                <w:b w:val="0"/>
                <w:bCs w:val="0"/>
                <w:kern w:val="0"/>
                <w:sz w:val="18"/>
                <w:szCs w:val="18"/>
                <w:shd w:val="clear" w:color="auto" w:fill="FFFFFF"/>
              </w:rPr>
              <w:t>战略规划</w:t>
            </w:r>
          </w:p>
        </w:tc>
        <w:tc>
          <w:tcPr>
            <w:tcW w:w="1489" w:type="dxa"/>
            <w:vAlign w:val="center"/>
          </w:tcPr>
          <w:p>
            <w:pPr>
              <w:spacing w:line="276" w:lineRule="auto"/>
              <w:jc w:val="center"/>
              <w:rPr>
                <w:rFonts w:hint="eastAsia" w:ascii="Times New Roman" w:hAnsi="Times New Roman" w:eastAsia="宋体" w:cs="Times New Roman"/>
                <w:b w:val="0"/>
                <w:bCs w:val="0"/>
                <w:kern w:val="0"/>
                <w:sz w:val="18"/>
                <w:szCs w:val="18"/>
                <w:shd w:val="clear" w:color="auto" w:fill="FFFFFF"/>
                <w:lang w:val="en-US" w:eastAsia="zh-CN"/>
              </w:rPr>
            </w:pPr>
            <w:r>
              <w:rPr>
                <w:rFonts w:hint="eastAsia" w:ascii="Times New Roman" w:hAnsi="Times New Roman" w:eastAsia="宋体" w:cs="Times New Roman"/>
                <w:b w:val="0"/>
                <w:bCs w:val="0"/>
                <w:kern w:val="0"/>
                <w:sz w:val="18"/>
                <w:szCs w:val="18"/>
                <w:shd w:val="clear" w:color="auto" w:fill="FFFFFF"/>
                <w:lang w:val="en-US" w:eastAsia="zh-CN"/>
              </w:rPr>
              <w:t>规划年</w:t>
            </w:r>
          </w:p>
        </w:tc>
        <w:tc>
          <w:tcPr>
            <w:tcW w:w="5186" w:type="dxa"/>
            <w:vAlign w:val="center"/>
          </w:tcPr>
          <w:p>
            <w:pPr>
              <w:spacing w:line="276" w:lineRule="auto"/>
              <w:jc w:val="center"/>
              <w:rPr>
                <w:rFonts w:hint="default" w:ascii="Times New Roman" w:hAnsi="Times New Roman" w:eastAsia="宋体" w:cs="Times New Roman"/>
                <w:b w:val="0"/>
                <w:bCs w:val="0"/>
                <w:kern w:val="0"/>
                <w:sz w:val="18"/>
                <w:szCs w:val="18"/>
                <w:lang w:val="en-US" w:eastAsia="zh-CN"/>
              </w:rPr>
            </w:pPr>
            <w:r>
              <w:rPr>
                <w:rFonts w:hint="eastAsia" w:ascii="Times New Roman" w:hAnsi="Times New Roman" w:eastAsia="宋体" w:cs="Times New Roman"/>
                <w:b w:val="0"/>
                <w:bCs w:val="0"/>
                <w:kern w:val="0"/>
                <w:sz w:val="18"/>
                <w:szCs w:val="18"/>
                <w:shd w:val="clear" w:color="auto" w:fill="FFFFFF"/>
                <w:lang w:val="en-US" w:eastAsia="zh-CN"/>
              </w:rPr>
              <w:t>针对科学数据的事项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科技白皮书</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1996</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旨在建立国家创新体系，包括建立科技自主能力，创造性地解决与科技有关的国家重大问题，根据优先科技领域建立重新分配政府拨款机制，建立国家研究机构与竞争性拨款机制。同时加快制定国家长期科技规划的</w:t>
            </w:r>
            <w:bookmarkStart w:id="0" w:name="_GoBack"/>
            <w:bookmarkEnd w:id="0"/>
            <w:r>
              <w:rPr>
                <w:rFonts w:ascii="Times New Roman" w:hAnsi="Times New Roman" w:eastAsia="宋体" w:cs="Times New Roman"/>
                <w:kern w:val="0"/>
                <w:sz w:val="18"/>
                <w:szCs w:val="18"/>
                <w:shd w:val="clear" w:color="auto" w:fill="FFFFFF"/>
              </w:rPr>
              <w:t>预算，推广研究机构改革经验和采纳合理化管理建议等。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南非国家研究与开发战略</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2002</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该战略的目标是以深刻但实际的方式解决这些弱点，包括为国家创新体系提供适当资金；政府主导的科学和技术的分散管理；冻结的体制安排和资金结构并不能为这一领域的领导和战略应对提供正确的平台。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南非十年创新计划(2008–2018年)</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2007</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该计划涉及社会、经济、政治、科学和技术效益等，旨在激发多学科思维，挑战科研人员回答现有问题、创建新学科和开发新技术。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南非科技创新部提出“技术创新计划”</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2011</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该计划旨在促进战略和新兴重点领域的研究和开发，通过实施有利的政策工具，促进研发产出的商业产品、流程和服务。还包括影响战略科学和技术创新重点领域的政策制定，协调和支持战略以及新兴领域的研究和高端技能发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中期战略框架2014–2019年</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2014</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指出建设和维护经济基础设施在推动发展方面发挥关键作用。将继续扩大现代化、提高信息通信基础设施的可负担性和可访问性，且所有国有信息技术机构的工作都将与这些目标保持一致。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2020/2021–2024/2025年战略计划</w:t>
            </w:r>
          </w:p>
        </w:tc>
        <w:tc>
          <w:tcPr>
            <w:tcW w:w="1489" w:type="dxa"/>
            <w:vAlign w:val="center"/>
          </w:tcPr>
          <w:p>
            <w:pPr>
              <w:spacing w:line="276" w:lineRule="auto"/>
              <w:jc w:val="center"/>
              <w:rPr>
                <w:rFonts w:ascii="Times New Roman" w:hAnsi="Times New Roman" w:eastAsia="宋体" w:cs="Times New Roman"/>
                <w:kern w:val="0"/>
                <w:sz w:val="18"/>
                <w:szCs w:val="18"/>
                <w:shd w:val="clear" w:color="auto" w:fill="FFFFFF"/>
              </w:rPr>
            </w:pPr>
            <w:r>
              <w:rPr>
                <w:rFonts w:ascii="Times New Roman" w:hAnsi="Times New Roman" w:eastAsia="宋体" w:cs="Times New Roman"/>
                <w:kern w:val="0"/>
                <w:sz w:val="18"/>
                <w:szCs w:val="18"/>
                <w:shd w:val="clear" w:color="auto" w:fill="FFFFFF"/>
              </w:rPr>
              <w:t>2020</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该战略指出为了弥补数据差距，将在未来五年优先考虑“保持国家指标的质量，为循证决策提供信息；立法改革以加强该国的统计协调；推动转型和变革议程，以优化、创新和多样化组织在数据生态系统中运营。</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47" w:type="dxa"/>
            <w:vAlign w:val="center"/>
          </w:tcPr>
          <w:p>
            <w:pPr>
              <w:spacing w:line="276" w:lineRule="auto"/>
              <w:jc w:val="center"/>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南非国家数字及未来技术战略</w:t>
            </w:r>
          </w:p>
        </w:tc>
        <w:tc>
          <w:tcPr>
            <w:tcW w:w="1489" w:type="dxa"/>
            <w:vAlign w:val="center"/>
          </w:tcPr>
          <w:p>
            <w:pPr>
              <w:spacing w:line="276" w:lineRule="auto"/>
              <w:jc w:val="center"/>
              <w:rPr>
                <w:rFonts w:hint="eastAsia" w:ascii="Times New Roman" w:hAnsi="Times New Roman" w:eastAsia="宋体" w:cs="Times New Roman"/>
                <w:kern w:val="0"/>
                <w:sz w:val="18"/>
                <w:szCs w:val="18"/>
                <w:shd w:val="clear" w:color="auto" w:fill="FFFFFF"/>
                <w:lang w:eastAsia="zh-CN"/>
              </w:rPr>
            </w:pPr>
            <w:r>
              <w:rPr>
                <w:rFonts w:ascii="Times New Roman" w:hAnsi="Times New Roman" w:eastAsia="宋体" w:cs="Times New Roman"/>
                <w:kern w:val="0"/>
                <w:sz w:val="18"/>
                <w:szCs w:val="18"/>
                <w:shd w:val="clear" w:color="auto" w:fill="FFFFFF"/>
              </w:rPr>
              <w:t>2020</w:t>
            </w:r>
            <w:r>
              <w:rPr>
                <w:rFonts w:hint="eastAsia" w:ascii="Times New Roman" w:hAnsi="Times New Roman" w:eastAsia="宋体" w:cs="Times New Roman"/>
                <w:kern w:val="0"/>
                <w:sz w:val="18"/>
                <w:szCs w:val="18"/>
                <w:shd w:val="clear" w:color="auto" w:fill="FFFFFF"/>
                <w:lang w:val="en-US" w:eastAsia="zh-CN"/>
              </w:rPr>
              <w:t>年</w:t>
            </w:r>
          </w:p>
        </w:tc>
        <w:tc>
          <w:tcPr>
            <w:tcW w:w="5186" w:type="dxa"/>
            <w:vAlign w:val="center"/>
          </w:tcPr>
          <w:p>
            <w:pPr>
              <w:spacing w:line="276" w:lineRule="auto"/>
              <w:rPr>
                <w:rFonts w:ascii="Times New Roman" w:hAnsi="Times New Roman" w:eastAsia="宋体" w:cs="Times New Roman"/>
                <w:b/>
                <w:bCs/>
                <w:kern w:val="0"/>
                <w:sz w:val="18"/>
                <w:szCs w:val="18"/>
              </w:rPr>
            </w:pPr>
            <w:r>
              <w:rPr>
                <w:rFonts w:ascii="Times New Roman" w:hAnsi="Times New Roman" w:eastAsia="宋体" w:cs="Times New Roman"/>
                <w:kern w:val="0"/>
                <w:sz w:val="18"/>
                <w:szCs w:val="18"/>
                <w:shd w:val="clear" w:color="auto" w:fill="FFFFFF"/>
              </w:rPr>
              <w:t>该战略规定了数字技能应受到关注的许多层面，以及提高数字技能的许多机制。该战略还考虑到数字技能的多样性，优先技能领域，以及将数字技能与主题知识相融等方面。</w:t>
            </w:r>
          </w:p>
        </w:tc>
      </w:tr>
    </w:tbl>
    <w:p>
      <w:pPr>
        <w:rPr>
          <w:rFonts w:ascii="Times New Roman" w:hAnsi="Times New Roman" w:eastAsia="宋体" w:cs="Times New Roman"/>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yZDc0ZmQwZjk4YzBlYjZkZjFjMDcwOWUzYjE5YmEifQ=="/>
  </w:docVars>
  <w:rsids>
    <w:rsidRoot w:val="0079762E"/>
    <w:rsid w:val="0079762E"/>
    <w:rsid w:val="27453E90"/>
    <w:rsid w:val="46E17AEA"/>
    <w:rsid w:val="75121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table" w:styleId="4">
    <w:name w:val="Table Grid"/>
    <w:basedOn w:val="3"/>
    <w:qFormat/>
    <w:uiPriority w:val="0"/>
    <w:rPr>
      <w:rFonts w:ascii="Calibri" w:hAnsi="Calibri" w:eastAsia="宋体" w:cs="Calibri"/>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741</Words>
  <Characters>838</Characters>
  <Lines>6</Lines>
  <Paragraphs>1</Paragraphs>
  <TotalTime>0</TotalTime>
  <ScaleCrop>false</ScaleCrop>
  <LinksUpToDate>false</LinksUpToDate>
  <CharactersWithSpaces>839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2023-09-07T14:16:00Z</dcterms:created>
  <dc:creator>NTKO</dc:creator>
  <cp:lastModifiedBy>ZJ</cp:lastModifiedBy>
  <dcterms:modified xsi:type="dcterms:W3CDTF">2023-09-08T07:36:37Z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AC89DFE7E66A469B9C28BC8D6A9C41A4_12</vt:lpwstr>
  </property>
</Properties>
</file>